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545" w:val="left" w:leader="none"/>
        </w:tabs>
        <w:spacing w:before="3"/>
      </w:pPr>
      <w:r>
        <w:rPr/>
        <w:t>長庚大學</w:t>
        <w:tab/>
      </w:r>
      <w:r>
        <w:rPr>
          <w:spacing w:val="-1"/>
        </w:rPr>
        <w:t>生物</w:t>
      </w:r>
      <w:r>
        <w:rPr/>
        <w:t>醫學工程研究所</w:t>
      </w:r>
    </w:p>
    <w:p>
      <w:pPr>
        <w:pStyle w:val="Title"/>
        <w:ind w:left="546"/>
      </w:pPr>
      <w:r>
        <w:rPr/>
        <w:t>碩士班研究生</w:t>
      </w:r>
      <w:r>
        <w:rPr>
          <w:rFonts w:ascii="Arial" w:eastAsia="Arial"/>
        </w:rPr>
        <w:t>/</w:t>
      </w:r>
      <w:r>
        <w:rPr/>
        <w:t>學位初試暨學位考試辦法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0" w:right="113" w:firstLine="0"/>
        <w:jc w:val="right"/>
        <w:rPr>
          <w:sz w:val="22"/>
        </w:rPr>
      </w:pPr>
      <w:r>
        <w:rPr>
          <w:rFonts w:ascii="Arial" w:eastAsia="Arial"/>
          <w:sz w:val="22"/>
        </w:rPr>
        <w:t>107</w:t>
      </w:r>
      <w:r>
        <w:rPr>
          <w:rFonts w:ascii="Arial" w:eastAsia="Arial"/>
          <w:spacing w:val="-7"/>
          <w:sz w:val="22"/>
        </w:rPr>
        <w:t> </w:t>
      </w:r>
      <w:r>
        <w:rPr>
          <w:spacing w:val="-1"/>
          <w:sz w:val="22"/>
        </w:rPr>
        <w:t>年 </w:t>
      </w:r>
      <w:r>
        <w:rPr>
          <w:rFonts w:ascii="Arial" w:eastAsia="Arial"/>
          <w:sz w:val="22"/>
        </w:rPr>
        <w:t>8</w:t>
      </w:r>
      <w:r>
        <w:rPr>
          <w:rFonts w:ascii="Arial" w:eastAsia="Arial"/>
          <w:spacing w:val="-7"/>
          <w:sz w:val="22"/>
        </w:rPr>
        <w:t> </w:t>
      </w:r>
      <w:r>
        <w:rPr>
          <w:sz w:val="22"/>
        </w:rPr>
        <w:t>月所務會議通過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3" w:after="0"/>
        <w:ind w:left="5919" w:right="113" w:hanging="5920"/>
        <w:jc w:val="right"/>
        <w:rPr>
          <w:sz w:val="22"/>
        </w:rPr>
      </w:pPr>
      <w:r>
        <w:rPr>
          <w:spacing w:val="-1"/>
          <w:sz w:val="22"/>
        </w:rPr>
        <w:t>年 </w:t>
      </w:r>
      <w:r>
        <w:rPr>
          <w:rFonts w:ascii="Arial" w:eastAsia="Arial"/>
          <w:sz w:val="22"/>
        </w:rPr>
        <w:t>4</w:t>
      </w:r>
      <w:r>
        <w:rPr>
          <w:rFonts w:ascii="Arial" w:eastAsia="Arial"/>
          <w:spacing w:val="-7"/>
          <w:sz w:val="22"/>
        </w:rPr>
        <w:t> </w:t>
      </w:r>
      <w:r>
        <w:rPr>
          <w:spacing w:val="-1"/>
          <w:sz w:val="22"/>
        </w:rPr>
        <w:t>月 </w:t>
      </w:r>
      <w:r>
        <w:rPr>
          <w:rFonts w:ascii="Arial" w:eastAsia="Arial"/>
          <w:sz w:val="22"/>
        </w:rPr>
        <w:t>19</w:t>
      </w:r>
      <w:r>
        <w:rPr>
          <w:rFonts w:ascii="Arial" w:eastAsia="Arial"/>
          <w:spacing w:val="-6"/>
          <w:sz w:val="22"/>
        </w:rPr>
        <w:t> </w:t>
      </w:r>
      <w:r>
        <w:rPr>
          <w:sz w:val="22"/>
        </w:rPr>
        <w:t>日所務會議通過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1" w:after="0"/>
        <w:ind w:left="5919" w:right="113" w:hanging="5920"/>
        <w:jc w:val="right"/>
        <w:rPr>
          <w:sz w:val="22"/>
        </w:rPr>
      </w:pPr>
      <w:r>
        <w:rPr>
          <w:spacing w:val="-1"/>
          <w:sz w:val="22"/>
        </w:rPr>
        <w:t>年 </w:t>
      </w:r>
      <w:r>
        <w:rPr>
          <w:rFonts w:ascii="Arial" w:eastAsia="Arial"/>
          <w:sz w:val="22"/>
        </w:rPr>
        <w:t>10</w:t>
      </w:r>
      <w:r>
        <w:rPr>
          <w:rFonts w:ascii="Arial" w:eastAsia="Arial"/>
          <w:spacing w:val="-7"/>
          <w:sz w:val="22"/>
        </w:rPr>
        <w:t> </w:t>
      </w:r>
      <w:r>
        <w:rPr>
          <w:spacing w:val="-1"/>
          <w:sz w:val="22"/>
        </w:rPr>
        <w:t>月 </w:t>
      </w:r>
      <w:r>
        <w:rPr>
          <w:rFonts w:ascii="Arial" w:eastAsia="Arial"/>
          <w:sz w:val="22"/>
        </w:rPr>
        <w:t>8</w:t>
      </w:r>
      <w:r>
        <w:rPr>
          <w:rFonts w:ascii="Arial" w:eastAsia="Arial"/>
          <w:spacing w:val="-7"/>
          <w:sz w:val="22"/>
        </w:rPr>
        <w:t> </w:t>
      </w:r>
      <w:r>
        <w:rPr>
          <w:sz w:val="22"/>
        </w:rPr>
        <w:t>日所務會議通過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spacing w:line="285" w:lineRule="auto"/>
        <w:ind w:left="1260" w:right="145" w:hanging="1080"/>
      </w:pPr>
      <w:r>
        <w:rPr/>
        <w:t>第一條、 本辦法依大學法第二十六條、學位授予法及其施行細則規定訂定，以及本校「</w:t>
      </w:r>
      <w:hyperlink r:id="rId5">
        <w:r>
          <w:rPr/>
          <w:t>碩博士學位考試實施辦法</w:t>
        </w:r>
      </w:hyperlink>
      <w:r>
        <w:rPr/>
        <w:t>」規定訂定之。</w:t>
      </w:r>
    </w:p>
    <w:p>
      <w:pPr>
        <w:pStyle w:val="BodyText"/>
        <w:spacing w:before="1"/>
        <w:ind w:left="180"/>
      </w:pPr>
      <w:r>
        <w:rPr/>
        <w:t>第二條、 研究生符合下列各項規定者，得提出碩士學位初試：</w:t>
      </w:r>
    </w:p>
    <w:p>
      <w:pPr>
        <w:pStyle w:val="BodyText"/>
        <w:tabs>
          <w:tab w:pos="1980" w:val="left" w:leader="none"/>
        </w:tabs>
        <w:spacing w:line="285" w:lineRule="auto" w:before="65"/>
        <w:ind w:right="142" w:hanging="601"/>
      </w:pPr>
      <w:r>
        <w:rPr>
          <w:rFonts w:ascii="Arial" w:eastAsia="Arial"/>
        </w:rPr>
        <w:t>(</w:t>
      </w:r>
      <w:r>
        <w:rPr/>
        <w:t>一</w:t>
      </w:r>
      <w:r>
        <w:rPr>
          <w:rFonts w:ascii="Arial" w:eastAsia="Arial"/>
        </w:rPr>
        <w:t>)</w:t>
        <w:tab/>
      </w:r>
      <w:r>
        <w:rPr/>
        <w:t>各研究生入學後，應在所內專任及合聘校內專任教師中選定論</w:t>
      </w:r>
      <w:r>
        <w:rPr>
          <w:spacing w:val="-1"/>
        </w:rPr>
        <w:t>文</w:t>
      </w:r>
      <w:r>
        <w:rPr/>
        <w:t>指導老師，並在指導老師協助下擬定論文題目並進行研究。另應於註冊就讀之第</w:t>
      </w:r>
      <w:r>
        <w:rPr>
          <w:spacing w:val="-3"/>
        </w:rPr>
        <w:t> </w:t>
      </w:r>
      <w:r>
        <w:rPr>
          <w:rFonts w:ascii="Arial" w:eastAsia="Arial"/>
        </w:rPr>
        <w:t>3</w:t>
      </w:r>
      <w:r>
        <w:rPr>
          <w:rFonts w:ascii="Arial" w:eastAsia="Arial"/>
          <w:spacing w:val="-6"/>
        </w:rPr>
        <w:t> </w:t>
      </w:r>
      <w:r>
        <w:rPr/>
        <w:t>學期開學日後</w:t>
      </w:r>
      <w:r>
        <w:rPr>
          <w:spacing w:val="-3"/>
        </w:rPr>
        <w:t> </w:t>
      </w:r>
      <w:r>
        <w:rPr>
          <w:rFonts w:ascii="Arial" w:eastAsia="Arial"/>
        </w:rPr>
        <w:t>6</w:t>
      </w:r>
      <w:r>
        <w:rPr>
          <w:rFonts w:ascii="Arial" w:eastAsia="Arial"/>
          <w:spacing w:val="-6"/>
        </w:rPr>
        <w:t> </w:t>
      </w:r>
      <w:r>
        <w:rPr/>
        <w:t>周內申請並完成『碩士學位初試</w:t>
      </w:r>
      <w:r>
        <w:rPr>
          <w:spacing w:val="-120"/>
        </w:rPr>
        <w:t>』</w:t>
      </w:r>
      <w:r>
        <w:rPr/>
        <w:t>。論文指導老師之資格需具備本校「</w:t>
      </w:r>
      <w:hyperlink r:id="rId5">
        <w:r>
          <w:rPr/>
          <w:t>碩博士學位</w:t>
        </w:r>
      </w:hyperlink>
      <w:hyperlink r:id="rId5">
        <w:r>
          <w:rPr/>
          <w:t>考試實施辦法</w:t>
        </w:r>
      </w:hyperlink>
      <w:r>
        <w:rPr/>
        <w:t>」第五條所規定之學位考試委員資格。</w:t>
      </w:r>
    </w:p>
    <w:p>
      <w:pPr>
        <w:pStyle w:val="BodyText"/>
        <w:spacing w:line="285" w:lineRule="auto" w:before="3"/>
        <w:ind w:right="142" w:hanging="601"/>
        <w:jc w:val="both"/>
      </w:pP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</w:rPr>
        <w:t>) </w:t>
      </w:r>
      <w:r>
        <w:rPr/>
        <w:t>學生應於提出『</w:t>
      </w:r>
      <w:hyperlink r:id="rId6">
        <w:r>
          <w:rPr/>
          <w:t>碩士學位初試申請表</w:t>
        </w:r>
      </w:hyperlink>
      <w:r>
        <w:rPr/>
        <w:t>』後，由所方安排至少 </w:t>
      </w:r>
      <w:r>
        <w:rPr>
          <w:rFonts w:ascii="Arial" w:eastAsia="Arial"/>
        </w:rPr>
        <w:t>2</w:t>
      </w:r>
      <w:r>
        <w:rPr>
          <w:rFonts w:ascii="Arial" w:eastAsia="Arial"/>
          <w:spacing w:val="-64"/>
        </w:rPr>
        <w:t> </w:t>
      </w:r>
      <w:r>
        <w:rPr>
          <w:spacing w:val="-1"/>
        </w:rPr>
        <w:t>位口試委員進行評審。各研究生口試後之『</w:t>
      </w:r>
      <w:hyperlink r:id="rId7">
        <w:r>
          <w:rPr/>
          <w:t>碩士學位初試口試</w:t>
        </w:r>
      </w:hyperlink>
      <w:hyperlink r:id="rId7">
        <w:r>
          <w:rPr/>
          <w:t>評分表</w:t>
        </w:r>
      </w:hyperlink>
      <w:r>
        <w:rPr/>
        <w:t>』與『</w:t>
      </w:r>
      <w:hyperlink r:id="rId8">
        <w:r>
          <w:rPr/>
          <w:t>碩士學位初試口試總評表</w:t>
        </w:r>
      </w:hyperlink>
      <w:r>
        <w:rPr/>
        <w:t>』留存本所。</w:t>
      </w:r>
    </w:p>
    <w:p>
      <w:pPr>
        <w:pStyle w:val="BodyText"/>
        <w:spacing w:line="285" w:lineRule="auto" w:before="2"/>
        <w:ind w:right="128" w:hanging="601"/>
        <w:jc w:val="both"/>
      </w:pPr>
      <w:r>
        <w:rPr>
          <w:rFonts w:ascii="Arial" w:eastAsia="Arial"/>
        </w:rPr>
        <w:t>(</w:t>
      </w:r>
      <w:r>
        <w:rPr/>
        <w:t>三</w:t>
      </w:r>
      <w:r>
        <w:rPr>
          <w:rFonts w:ascii="Arial" w:eastAsia="Arial"/>
          <w:spacing w:val="29"/>
        </w:rPr>
        <w:t>) </w:t>
      </w:r>
      <w:r>
        <w:rPr>
          <w:spacing w:val="-1"/>
        </w:rPr>
        <w:t>因故未能過碩士學位初試者，得於前一次學位初試舉行後 </w:t>
      </w:r>
      <w:r>
        <w:rPr>
          <w:rFonts w:ascii="Arial" w:eastAsia="Arial"/>
        </w:rPr>
        <w:t>2</w:t>
      </w:r>
      <w:r>
        <w:rPr>
          <w:rFonts w:ascii="Arial" w:eastAsia="Arial"/>
          <w:spacing w:val="-9"/>
        </w:rPr>
        <w:t> </w:t>
      </w:r>
      <w:r>
        <w:rPr/>
        <w:t>周後再度提出碩士學位初試申請。</w:t>
      </w:r>
    </w:p>
    <w:p>
      <w:pPr>
        <w:pStyle w:val="BodyText"/>
        <w:ind w:left="180"/>
        <w:jc w:val="both"/>
      </w:pPr>
      <w:r>
        <w:rPr/>
        <w:t>第三條、 研究生符合下列各項規定者，得申請碩士學位考試：</w:t>
      </w:r>
    </w:p>
    <w:p>
      <w:pPr>
        <w:pStyle w:val="BodyText"/>
        <w:tabs>
          <w:tab w:pos="2019" w:val="left" w:leader="none"/>
        </w:tabs>
        <w:spacing w:before="65"/>
        <w:ind w:left="1380"/>
      </w:pPr>
      <w:r>
        <w:rPr>
          <w:rFonts w:ascii="Arial" w:eastAsia="Arial"/>
        </w:rPr>
        <w:t>(</w:t>
      </w:r>
      <w:r>
        <w:rPr/>
        <w:t>一</w:t>
      </w:r>
      <w:r>
        <w:rPr>
          <w:rFonts w:ascii="Arial" w:eastAsia="Arial"/>
        </w:rPr>
        <w:t>)</w:t>
        <w:tab/>
      </w:r>
      <w:r>
        <w:rPr/>
        <w:t>修業逾一學期。</w:t>
      </w:r>
    </w:p>
    <w:p>
      <w:pPr>
        <w:pStyle w:val="BodyText"/>
        <w:tabs>
          <w:tab w:pos="2019" w:val="left" w:leader="none"/>
        </w:tabs>
        <w:spacing w:line="285" w:lineRule="auto" w:before="66"/>
        <w:ind w:right="342" w:hanging="601"/>
      </w:pP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</w:rPr>
        <w:t>)</w:t>
        <w:tab/>
        <w:tab/>
      </w:r>
      <w:r>
        <w:rPr/>
        <w:t>至少修滿二十四學分，並修畢本所規定之應修科目與學分；</w:t>
      </w:r>
      <w:r>
        <w:rPr>
          <w:spacing w:val="-60"/>
        </w:rPr>
        <w:t> </w:t>
      </w:r>
      <w:r>
        <w:rPr/>
        <w:t>論文學分另計。</w:t>
      </w:r>
    </w:p>
    <w:p>
      <w:pPr>
        <w:pStyle w:val="BodyText"/>
        <w:tabs>
          <w:tab w:pos="2019" w:val="left" w:leader="none"/>
        </w:tabs>
        <w:ind w:left="1380"/>
      </w:pPr>
      <w:r>
        <w:rPr>
          <w:rFonts w:ascii="Arial" w:eastAsia="Arial"/>
        </w:rPr>
        <w:t>(</w:t>
      </w:r>
      <w:r>
        <w:rPr/>
        <w:t>三</w:t>
      </w:r>
      <w:r>
        <w:rPr>
          <w:rFonts w:ascii="Arial" w:eastAsia="Arial"/>
        </w:rPr>
        <w:t>)</w:t>
        <w:tab/>
      </w:r>
      <w:r>
        <w:rPr/>
        <w:t>已於至少前一學期，通過『碩士學位初試</w:t>
      </w:r>
      <w:r>
        <w:rPr>
          <w:spacing w:val="-120"/>
        </w:rPr>
        <w:t>』</w:t>
      </w:r>
      <w:r>
        <w:rPr/>
        <w:t>。</w:t>
      </w:r>
    </w:p>
    <w:p>
      <w:pPr>
        <w:pStyle w:val="BodyText"/>
        <w:tabs>
          <w:tab w:pos="2019" w:val="left" w:leader="none"/>
        </w:tabs>
        <w:spacing w:before="66"/>
        <w:ind w:left="1380"/>
      </w:pPr>
      <w:r>
        <w:rPr>
          <w:rFonts w:ascii="Arial" w:eastAsia="Arial"/>
        </w:rPr>
        <w:t>(</w:t>
      </w:r>
      <w:r>
        <w:rPr/>
        <w:t>四</w:t>
      </w:r>
      <w:r>
        <w:rPr>
          <w:rFonts w:ascii="Arial" w:eastAsia="Arial"/>
        </w:rPr>
        <w:t>)</w:t>
        <w:tab/>
      </w:r>
      <w:r>
        <w:rPr/>
        <w:t>已完成論文初稿。</w:t>
      </w:r>
    </w:p>
    <w:p>
      <w:pPr>
        <w:pStyle w:val="BodyText"/>
        <w:tabs>
          <w:tab w:pos="2019" w:val="left" w:leader="none"/>
        </w:tabs>
        <w:spacing w:line="285" w:lineRule="auto" w:before="63"/>
        <w:ind w:left="2021" w:right="222" w:hanging="642"/>
      </w:pPr>
      <w:r>
        <w:rPr>
          <w:rFonts w:ascii="Arial" w:eastAsia="Arial"/>
        </w:rPr>
        <w:t>(</w:t>
      </w:r>
      <w:r>
        <w:rPr/>
        <w:t>五</w:t>
      </w:r>
      <w:r>
        <w:rPr>
          <w:rFonts w:ascii="Arial" w:eastAsia="Arial"/>
        </w:rPr>
        <w:t>)</w:t>
        <w:tab/>
      </w:r>
      <w:r>
        <w:rPr/>
        <w:t>依『長庚大學工學院碩士班研究生英文能力檢測實施方案</w:t>
      </w:r>
      <w:r>
        <w:rPr>
          <w:spacing w:val="-120"/>
        </w:rPr>
        <w:t>』</w:t>
      </w:r>
      <w:r>
        <w:rPr/>
        <w:t>，</w:t>
      </w:r>
      <w:r>
        <w:rPr>
          <w:spacing w:val="-60"/>
        </w:rPr>
        <w:t> </w:t>
      </w:r>
      <w:r>
        <w:rPr/>
        <w:t>繳交通過證明。</w:t>
      </w:r>
    </w:p>
    <w:p>
      <w:pPr>
        <w:pStyle w:val="BodyText"/>
        <w:tabs>
          <w:tab w:pos="2019" w:val="left" w:leader="none"/>
        </w:tabs>
        <w:spacing w:before="2"/>
        <w:ind w:left="1380"/>
      </w:pPr>
      <w:r>
        <w:rPr>
          <w:rFonts w:ascii="Arial" w:eastAsia="Arial"/>
        </w:rPr>
        <w:t>(</w:t>
      </w:r>
      <w:r>
        <w:rPr/>
        <w:t>五</w:t>
      </w:r>
      <w:r>
        <w:rPr>
          <w:rFonts w:ascii="Arial" w:eastAsia="Arial"/>
        </w:rPr>
        <w:t>)</w:t>
        <w:tab/>
      </w:r>
      <w:r>
        <w:rPr/>
        <w:t>提出『</w:t>
      </w:r>
      <w:hyperlink r:id="rId9">
        <w:r>
          <w:rPr/>
          <w:t>研究生論文指導教授同意書</w:t>
        </w:r>
      </w:hyperlink>
      <w:r>
        <w:rPr>
          <w:spacing w:val="-120"/>
        </w:rPr>
        <w:t>』。</w:t>
      </w:r>
    </w:p>
    <w:p>
      <w:pPr>
        <w:pStyle w:val="BodyText"/>
        <w:spacing w:line="285" w:lineRule="auto" w:before="63"/>
        <w:ind w:left="1260" w:right="144" w:hanging="1080"/>
      </w:pPr>
      <w:r>
        <w:rPr/>
        <w:t>第四條、 研究生申請碩士學位考試，應備妥本所規定之各項文件，經指導教授及所長同意後辦理。</w:t>
      </w:r>
    </w:p>
    <w:p>
      <w:pPr>
        <w:pStyle w:val="BodyText"/>
        <w:spacing w:line="285" w:lineRule="auto" w:before="3"/>
        <w:ind w:left="1260" w:right="142" w:hanging="1080"/>
      </w:pPr>
      <w:r>
        <w:rPr/>
        <w:t>第五條、 研究生申請碩士學位考試之時間、地點、委員等內容若於列印後所長</w:t>
      </w:r>
      <w:r>
        <w:rPr>
          <w:spacing w:val="-1"/>
        </w:rPr>
        <w:t>核簽前需更改，請指導教授於更正處蓋章；於呈核後需修改則應填寫</w:t>
      </w:r>
    </w:p>
    <w:p>
      <w:pPr>
        <w:pStyle w:val="BodyText"/>
        <w:ind w:left="1260"/>
      </w:pPr>
      <w:r>
        <w:rPr/>
        <w:t>『</w:t>
      </w:r>
      <w:hyperlink r:id="rId10">
        <w:r>
          <w:rPr/>
          <w:t>研究生學位考試異動申請表</w:t>
        </w:r>
      </w:hyperlink>
      <w:r>
        <w:rPr>
          <w:spacing w:val="-12"/>
        </w:rPr>
        <w:t>』。論文題目更改一律以『</w:t>
      </w:r>
      <w:hyperlink r:id="rId11">
        <w:r>
          <w:rPr/>
          <w:t>研究生更換</w:t>
        </w:r>
      </w:hyperlink>
    </w:p>
    <w:p>
      <w:pPr>
        <w:spacing w:after="0"/>
        <w:sectPr>
          <w:type w:val="continuous"/>
          <w:pgSz w:w="11910" w:h="16840"/>
          <w:pgMar w:top="1400" w:bottom="280" w:left="1620" w:right="1680"/>
        </w:sectPr>
      </w:pPr>
    </w:p>
    <w:p>
      <w:pPr>
        <w:pStyle w:val="BodyText"/>
        <w:spacing w:before="39"/>
        <w:ind w:left="1260"/>
      </w:pPr>
      <w:hyperlink r:id="rId11">
        <w:r>
          <w:rPr/>
          <w:t>論文題目申請表</w:t>
        </w:r>
      </w:hyperlink>
      <w:r>
        <w:rPr/>
        <w:t>』向教務處申請異動。</w:t>
      </w:r>
    </w:p>
    <w:p>
      <w:pPr>
        <w:pStyle w:val="BodyText"/>
        <w:spacing w:before="62"/>
        <w:ind w:left="180"/>
      </w:pPr>
      <w:r>
        <w:rPr/>
        <w:t>第六條、 碩士學位考試委員會，應依下列規定組織之：</w:t>
      </w:r>
    </w:p>
    <w:p>
      <w:pPr>
        <w:pStyle w:val="BodyText"/>
        <w:spacing w:line="285" w:lineRule="auto" w:before="65"/>
        <w:ind w:right="142" w:hanging="601"/>
        <w:jc w:val="both"/>
      </w:pPr>
      <w:r>
        <w:rPr>
          <w:rFonts w:ascii="Arial" w:eastAsia="Arial"/>
          <w:spacing w:val="-1"/>
        </w:rPr>
        <w:t>(</w:t>
      </w:r>
      <w:r>
        <w:rPr/>
        <w:t>一</w:t>
      </w:r>
      <w:r>
        <w:rPr>
          <w:rFonts w:ascii="Arial" w:eastAsia="Arial"/>
          <w:spacing w:val="-6"/>
        </w:rPr>
        <w:t>)    </w:t>
      </w:r>
      <w:r>
        <w:rPr/>
        <w:t>碩士學位考試委員員以三人為原則（含校外委員</w:t>
      </w:r>
      <w:r>
        <w:rPr>
          <w:spacing w:val="-120"/>
        </w:rPr>
        <w:t>）</w:t>
      </w:r>
      <w:r>
        <w:rPr/>
        <w:t>，若有二位</w:t>
      </w:r>
      <w:r>
        <w:rPr>
          <w:spacing w:val="-1"/>
        </w:rPr>
        <w:t>指導教授共同指導，碩士學位考試委員以四人為原則。考試委員由所長指定一人為召集人，指導教授為當然委員，但不得擔</w:t>
      </w:r>
      <w:r>
        <w:rPr/>
        <w:t>任召集人。</w:t>
      </w:r>
    </w:p>
    <w:p>
      <w:pPr>
        <w:pStyle w:val="BodyText"/>
        <w:spacing w:line="285" w:lineRule="auto" w:before="4"/>
        <w:ind w:right="342" w:hanging="601"/>
        <w:jc w:val="both"/>
      </w:pP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  <w:spacing w:val="13"/>
        </w:rPr>
        <w:t>) </w:t>
      </w:r>
      <w:r>
        <w:rPr/>
        <w:t>碩士學位考試委員，除對碩士班研究生所提論文有專門研究外，並應具備下列資格之一：</w:t>
      </w:r>
    </w:p>
    <w:p>
      <w:pPr>
        <w:pStyle w:val="ListParagraph"/>
        <w:numPr>
          <w:ilvl w:val="0"/>
          <w:numId w:val="2"/>
        </w:numPr>
        <w:tabs>
          <w:tab w:pos="2423" w:val="left" w:leader="none"/>
        </w:tabs>
        <w:spacing w:line="240" w:lineRule="auto" w:before="0" w:after="0"/>
        <w:ind w:left="2422" w:right="0" w:hanging="322"/>
        <w:jc w:val="left"/>
        <w:rPr>
          <w:sz w:val="24"/>
        </w:rPr>
      </w:pPr>
      <w:r>
        <w:rPr>
          <w:spacing w:val="-1"/>
          <w:sz w:val="24"/>
        </w:rPr>
        <w:t>具教授、副教授或助理教授資格者。</w:t>
      </w:r>
    </w:p>
    <w:p>
      <w:pPr>
        <w:pStyle w:val="ListParagraph"/>
        <w:numPr>
          <w:ilvl w:val="0"/>
          <w:numId w:val="2"/>
        </w:numPr>
        <w:tabs>
          <w:tab w:pos="2423" w:val="left" w:leader="none"/>
        </w:tabs>
        <w:spacing w:line="285" w:lineRule="auto" w:before="66" w:after="0"/>
        <w:ind w:left="2461" w:right="184" w:hanging="360"/>
        <w:jc w:val="left"/>
        <w:rPr>
          <w:sz w:val="24"/>
        </w:rPr>
      </w:pPr>
      <w:r>
        <w:rPr>
          <w:spacing w:val="-1"/>
          <w:sz w:val="24"/>
        </w:rPr>
        <w:t>擔任中央研究院院士或現</w:t>
      </w:r>
      <w:r>
        <w:rPr>
          <w:sz w:val="24"/>
        </w:rPr>
        <w:t>（曾）任中央研究院研究員、副研究員者。</w:t>
      </w:r>
    </w:p>
    <w:p>
      <w:pPr>
        <w:pStyle w:val="ListParagraph"/>
        <w:numPr>
          <w:ilvl w:val="0"/>
          <w:numId w:val="2"/>
        </w:numPr>
        <w:tabs>
          <w:tab w:pos="2423" w:val="left" w:leader="none"/>
        </w:tabs>
        <w:spacing w:line="240" w:lineRule="auto" w:before="0" w:after="0"/>
        <w:ind w:left="2422" w:right="0" w:hanging="322"/>
        <w:jc w:val="left"/>
        <w:rPr>
          <w:sz w:val="24"/>
        </w:rPr>
      </w:pPr>
      <w:r>
        <w:rPr>
          <w:spacing w:val="-1"/>
          <w:sz w:val="24"/>
        </w:rPr>
        <w:t>獲有博士學位，在學術上著有成就者。</w:t>
      </w:r>
    </w:p>
    <w:p>
      <w:pPr>
        <w:pStyle w:val="ListParagraph"/>
        <w:numPr>
          <w:ilvl w:val="0"/>
          <w:numId w:val="2"/>
        </w:numPr>
        <w:tabs>
          <w:tab w:pos="2423" w:val="left" w:leader="none"/>
        </w:tabs>
        <w:spacing w:line="285" w:lineRule="auto" w:before="65" w:after="0"/>
        <w:ind w:left="2401" w:right="184" w:hanging="300"/>
        <w:jc w:val="both"/>
        <w:rPr>
          <w:sz w:val="24"/>
        </w:rPr>
      </w:pPr>
      <w:r>
        <w:rPr>
          <w:spacing w:val="-1"/>
          <w:sz w:val="24"/>
        </w:rPr>
        <w:t>屬於稀少性或特殊性學科，在學術或專業上著有成就者。</w:t>
      </w:r>
      <w:r>
        <w:rPr>
          <w:sz w:val="24"/>
        </w:rPr>
        <w:t>前款第三目、第四目之提聘資格認定標準，由本所所務會議訂定之。</w:t>
      </w:r>
    </w:p>
    <w:p>
      <w:pPr>
        <w:pStyle w:val="BodyText"/>
        <w:spacing w:line="285" w:lineRule="auto" w:before="2"/>
        <w:ind w:left="660" w:right="3263" w:firstLine="720"/>
        <w:jc w:val="both"/>
      </w:pPr>
      <w:r>
        <w:rPr>
          <w:rFonts w:ascii="Arial" w:eastAsia="Arial"/>
        </w:rPr>
        <w:t>(</w:t>
      </w:r>
      <w:r>
        <w:rPr/>
        <w:t>三</w:t>
      </w:r>
      <w:r>
        <w:rPr>
          <w:rFonts w:ascii="Arial" w:eastAsia="Arial"/>
          <w:spacing w:val="10"/>
        </w:rPr>
        <w:t>)   </w:t>
      </w:r>
      <w:r>
        <w:rPr/>
        <w:t>本校兼任教師得為校外委員。第七條、 辦理學位考試，應符合下列規定：</w:t>
      </w:r>
    </w:p>
    <w:p>
      <w:pPr>
        <w:pStyle w:val="BodyText"/>
        <w:tabs>
          <w:tab w:pos="2019" w:val="left" w:leader="none"/>
        </w:tabs>
        <w:spacing w:line="285" w:lineRule="auto" w:before="1"/>
        <w:ind w:right="143" w:hanging="601"/>
      </w:pPr>
      <w:r>
        <w:rPr>
          <w:rFonts w:ascii="Arial" w:eastAsia="Arial"/>
        </w:rPr>
        <w:t>(</w:t>
      </w:r>
      <w:r>
        <w:rPr/>
        <w:t>一</w:t>
      </w:r>
      <w:r>
        <w:rPr>
          <w:rFonts w:ascii="Arial" w:eastAsia="Arial"/>
        </w:rPr>
        <w:t>)</w:t>
        <w:tab/>
        <w:tab/>
      </w:r>
      <w:r>
        <w:rPr/>
        <w:t>研究生申請學位考試核准後，應檢具繕印之學位論文初稿與摘要</w:t>
      </w:r>
      <w:r>
        <w:rPr>
          <w:rFonts w:ascii="Arial" w:eastAsia="Arial"/>
        </w:rPr>
        <w:t>(</w:t>
      </w:r>
      <w:r>
        <w:rPr/>
        <w:t>繳交實際需要之份數</w:t>
      </w:r>
      <w:r>
        <w:rPr>
          <w:rFonts w:ascii="Arial" w:eastAsia="Arial"/>
        </w:rPr>
        <w:t>)</w:t>
      </w:r>
      <w:r>
        <w:rPr/>
        <w:t>，送請本所審查符合規定後，擇期</w:t>
      </w:r>
      <w:r>
        <w:rPr>
          <w:spacing w:val="-1"/>
        </w:rPr>
        <w:t>辦理</w:t>
      </w:r>
      <w:r>
        <w:rPr/>
        <w:t>有關學位考試事宜。考試方式，以口試行之，必要時得舉行筆試或在實驗室舉行實驗考試。</w:t>
      </w:r>
    </w:p>
    <w:p>
      <w:pPr>
        <w:pStyle w:val="BodyText"/>
        <w:tabs>
          <w:tab w:pos="2019" w:val="left" w:leader="none"/>
        </w:tabs>
        <w:spacing w:line="285" w:lineRule="auto" w:before="3"/>
        <w:ind w:right="224" w:hanging="601"/>
      </w:pP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</w:rPr>
        <w:t>)</w:t>
        <w:tab/>
        <w:tab/>
      </w:r>
      <w:r>
        <w:rPr/>
        <w:t>學位考試成績以七十分為及格，一百分為滿分，以出席委員評定分數平均決定之。但碩士學位考試有二分之一</w:t>
      </w:r>
      <w:r>
        <w:rPr>
          <w:spacing w:val="50"/>
        </w:rPr>
        <w:t> </w:t>
      </w:r>
      <w:r>
        <w:rPr>
          <w:rFonts w:ascii="Arial" w:eastAsia="Arial"/>
        </w:rPr>
        <w:t>(</w:t>
      </w:r>
      <w:r>
        <w:rPr/>
        <w:t>含</w:t>
      </w:r>
      <w:r>
        <w:rPr>
          <w:rFonts w:ascii="Arial" w:eastAsia="Arial"/>
        </w:rPr>
        <w:t>)</w:t>
      </w:r>
      <w:r>
        <w:rPr>
          <w:rFonts w:ascii="Arial" w:eastAsia="Arial"/>
          <w:spacing w:val="44"/>
        </w:rPr>
        <w:t> </w:t>
      </w:r>
      <w:r>
        <w:rPr/>
        <w:t>以上委員評定為不及格者，以不及格論。</w:t>
      </w:r>
    </w:p>
    <w:p>
      <w:pPr>
        <w:pStyle w:val="BodyText"/>
        <w:tabs>
          <w:tab w:pos="2019" w:val="left" w:leader="none"/>
        </w:tabs>
        <w:spacing w:before="2"/>
        <w:ind w:left="1380"/>
      </w:pPr>
      <w:r>
        <w:rPr>
          <w:rFonts w:ascii="Arial" w:eastAsia="Arial"/>
        </w:rPr>
        <w:t>(</w:t>
      </w:r>
      <w:r>
        <w:rPr/>
        <w:t>三</w:t>
      </w:r>
      <w:r>
        <w:rPr>
          <w:rFonts w:ascii="Arial" w:eastAsia="Arial"/>
        </w:rPr>
        <w:t>)</w:t>
        <w:tab/>
      </w:r>
      <w:r>
        <w:rPr/>
        <w:t>考試委員應親自出席委員會，不得委託他人為代表。必要</w:t>
      </w:r>
    </w:p>
    <w:p>
      <w:pPr>
        <w:pStyle w:val="BodyText"/>
        <w:spacing w:line="288" w:lineRule="auto" w:before="63"/>
        <w:ind w:right="143"/>
        <w:jc w:val="both"/>
      </w:pPr>
      <w:r>
        <w:rPr>
          <w:spacing w:val="-1"/>
        </w:rPr>
        <w:t>時，經核准得以視訊方式進行，系</w:t>
      </w:r>
      <w:r>
        <w:rPr/>
        <w:t>（所）並應全程錄影存檔備</w:t>
      </w:r>
      <w:r>
        <w:rPr>
          <w:spacing w:val="-1"/>
        </w:rPr>
        <w:t>查。學位考試應有三分之二以上委員出席。但碩士學位考試委</w:t>
      </w:r>
      <w:r>
        <w:rPr/>
        <w:t>員會至少應有委員三人出席，始得舉行。</w:t>
      </w:r>
    </w:p>
    <w:p>
      <w:pPr>
        <w:pStyle w:val="BodyText"/>
        <w:spacing w:line="285" w:lineRule="auto"/>
        <w:ind w:right="342" w:hanging="601"/>
        <w:jc w:val="both"/>
      </w:pPr>
      <w:r>
        <w:rPr>
          <w:rFonts w:ascii="Arial" w:eastAsia="Arial"/>
        </w:rPr>
        <w:t>(</w:t>
      </w:r>
      <w:r>
        <w:rPr/>
        <w:t>四</w:t>
      </w:r>
      <w:r>
        <w:rPr>
          <w:rFonts w:ascii="Arial" w:eastAsia="Arial"/>
          <w:spacing w:val="13"/>
        </w:rPr>
        <w:t>) </w:t>
      </w:r>
      <w:r>
        <w:rPr/>
        <w:t>學位考試時，必須評定成績，評定以一次為限；考試委員未評定成績者，該考試委員以視同未出席委員會方式處理。</w:t>
      </w:r>
    </w:p>
    <w:p>
      <w:pPr>
        <w:pStyle w:val="BodyText"/>
        <w:spacing w:line="285" w:lineRule="auto"/>
        <w:ind w:right="342" w:hanging="601"/>
        <w:jc w:val="both"/>
      </w:pPr>
      <w:r>
        <w:rPr>
          <w:rFonts w:ascii="Arial" w:eastAsia="Arial"/>
        </w:rPr>
        <w:t>(</w:t>
      </w:r>
      <w:r>
        <w:rPr/>
        <w:t>五</w:t>
      </w:r>
      <w:r>
        <w:rPr>
          <w:rFonts w:ascii="Arial" w:eastAsia="Arial"/>
          <w:spacing w:val="13"/>
        </w:rPr>
        <w:t>) </w:t>
      </w:r>
      <w:r>
        <w:rPr/>
        <w:t>學位考試成績不及格，其修業期限尚未屆滿者，得於次學期以後重考，重考以一次為限；重考成績仍不及格者，應令退學。</w:t>
      </w:r>
    </w:p>
    <w:p>
      <w:pPr>
        <w:pStyle w:val="BodyText"/>
        <w:ind w:left="1380"/>
        <w:jc w:val="both"/>
      </w:pPr>
      <w:r>
        <w:rPr>
          <w:rFonts w:ascii="Arial" w:eastAsia="Arial"/>
        </w:rPr>
        <w:t>(</w:t>
      </w:r>
      <w:r>
        <w:rPr/>
        <w:t>六</w:t>
      </w:r>
      <w:r>
        <w:rPr>
          <w:rFonts w:ascii="Arial" w:eastAsia="Arial"/>
          <w:spacing w:val="54"/>
        </w:rPr>
        <w:t>) </w:t>
      </w:r>
      <w:r>
        <w:rPr/>
        <w:t>碩士論文之評分標準，由本所訂定；論文有抄襲或舞弊情</w:t>
      </w:r>
    </w:p>
    <w:p>
      <w:pPr>
        <w:spacing w:after="0"/>
        <w:jc w:val="both"/>
        <w:sectPr>
          <w:pgSz w:w="11910" w:h="16840"/>
          <w:pgMar w:top="1460" w:bottom="280" w:left="1620" w:right="1680"/>
        </w:sectPr>
      </w:pPr>
    </w:p>
    <w:p>
      <w:pPr>
        <w:pStyle w:val="BodyText"/>
        <w:spacing w:line="285" w:lineRule="auto" w:before="39"/>
        <w:ind w:right="384"/>
      </w:pPr>
      <w:r>
        <w:rPr>
          <w:spacing w:val="-1"/>
        </w:rPr>
        <w:t>事，經碩士學位考試委員會確定者，學位考試成績以不及格</w:t>
      </w:r>
      <w:r>
        <w:rPr/>
        <w:t>論。</w:t>
      </w:r>
    </w:p>
    <w:p>
      <w:pPr>
        <w:pStyle w:val="BodyText"/>
        <w:tabs>
          <w:tab w:pos="2019" w:val="left" w:leader="none"/>
        </w:tabs>
        <w:spacing w:line="285" w:lineRule="auto"/>
        <w:ind w:right="143" w:hanging="601"/>
      </w:pPr>
      <w:r>
        <w:rPr>
          <w:rFonts w:ascii="Arial" w:eastAsia="Arial"/>
        </w:rPr>
        <w:t>(</w:t>
      </w:r>
      <w:r>
        <w:rPr/>
        <w:t>七</w:t>
      </w:r>
      <w:r>
        <w:rPr>
          <w:rFonts w:ascii="Arial" w:eastAsia="Arial"/>
        </w:rPr>
        <w:t>)</w:t>
        <w:tab/>
        <w:tab/>
      </w:r>
      <w:r>
        <w:rPr/>
        <w:t>學位論文以中文或英文撰寫，並附上中文及英文摘要。已於</w:t>
      </w:r>
      <w:r>
        <w:rPr>
          <w:spacing w:val="-1"/>
        </w:rPr>
        <w:t>國內</w:t>
      </w:r>
      <w:r>
        <w:rPr/>
        <w:t>、外取得學位之論文，不得作為「學位授予法」第六條第一項、第二項、第七條第二項之論文及第十條之專業論文。</w:t>
      </w:r>
    </w:p>
    <w:p>
      <w:pPr>
        <w:pStyle w:val="BodyText"/>
        <w:spacing w:line="285" w:lineRule="auto" w:before="2"/>
        <w:ind w:left="1260" w:right="145" w:hanging="1080"/>
        <w:jc w:val="both"/>
      </w:pPr>
      <w:r>
        <w:rPr/>
        <w:t>第八條、 學位考試每學期舉行一次，惟至遲應於學期結束（第一學期為一月三</w:t>
      </w:r>
      <w:r>
        <w:rPr>
          <w:spacing w:val="-1"/>
        </w:rPr>
        <w:t>十一日、第二學期為七月三十一日</w:t>
      </w:r>
      <w:r>
        <w:rPr/>
        <w:t>）前。學位考試須在規定修業期限內舉行。</w:t>
      </w:r>
    </w:p>
    <w:p>
      <w:pPr>
        <w:pStyle w:val="BodyText"/>
        <w:spacing w:line="285" w:lineRule="auto" w:before="2"/>
        <w:ind w:left="1260" w:right="145" w:hanging="1080"/>
        <w:jc w:val="both"/>
      </w:pPr>
      <w:r>
        <w:rPr/>
        <w:t>第九條、 已申請學位考試之研究生，若因學生個人因素無法於該學期內完成學</w:t>
      </w:r>
      <w:r>
        <w:rPr>
          <w:spacing w:val="-1"/>
        </w:rPr>
        <w:t>位考試，應於學校行事曆規定學期結束日之前報請學校撤銷該學期學</w:t>
      </w:r>
      <w:r>
        <w:rPr/>
        <w:t>位考試之申請。逾期未撤銷亦未舉行考試者，以一次不及格論。</w:t>
      </w:r>
    </w:p>
    <w:p>
      <w:pPr>
        <w:pStyle w:val="BodyText"/>
        <w:spacing w:line="285" w:lineRule="auto" w:before="2"/>
        <w:ind w:left="1260" w:right="144" w:hanging="1080"/>
        <w:jc w:val="both"/>
      </w:pPr>
      <w:r>
        <w:rPr/>
        <w:t>第十條、 學位考試舉行後，本所秘書應將學位考試成績至遲於學期結束前送達</w:t>
      </w:r>
      <w:r>
        <w:rPr>
          <w:spacing w:val="-1"/>
        </w:rPr>
        <w:t>教務處登錄。研究生應於規定之期限內繳交附有考試委員簽字同意之論文，並同時完成離校手續，其期限第一學期為二月十五日、第二學</w:t>
      </w:r>
      <w:r>
        <w:rPr/>
        <w:t>期為八月十五日。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85" w:lineRule="auto"/>
        <w:ind w:left="1284" w:right="121"/>
        <w:jc w:val="both"/>
      </w:pPr>
      <w:r>
        <w:rPr>
          <w:spacing w:val="-1"/>
        </w:rPr>
        <w:t>未依前項期限繳交學位考試成績、論文或辦理離校手續且未達修業最高年限者，該次學位考試之舉行仍予以計算，但次學期仍應註冊，並在欲畢業之學期向教務處提出申請，於該學期繳交論文最後期限之前</w:t>
      </w:r>
      <w:r>
        <w:rPr/>
        <w:t>繳交，屬該學期畢業。</w:t>
      </w:r>
    </w:p>
    <w:p>
      <w:pPr>
        <w:pStyle w:val="BodyText"/>
        <w:spacing w:before="13"/>
        <w:ind w:left="0"/>
        <w:rPr>
          <w:sz w:val="28"/>
        </w:rPr>
      </w:pPr>
    </w:p>
    <w:p>
      <w:pPr>
        <w:pStyle w:val="BodyText"/>
        <w:spacing w:line="285" w:lineRule="auto"/>
        <w:ind w:left="1284" w:right="361"/>
      </w:pPr>
      <w:r>
        <w:rPr>
          <w:spacing w:val="-1"/>
        </w:rPr>
        <w:t>至修業最高年限屆滿時仍未繳學位考試成績、論文或未辦離校手續</w:t>
      </w:r>
      <w:r>
        <w:rPr/>
        <w:t>者，該學位考試以不及格論，並依規定退學。</w:t>
      </w:r>
    </w:p>
    <w:p>
      <w:pPr>
        <w:pStyle w:val="BodyText"/>
        <w:spacing w:line="285" w:lineRule="auto"/>
        <w:ind w:left="1260" w:right="209" w:hanging="1148"/>
      </w:pPr>
      <w:r>
        <w:rPr/>
        <w:t>第十一條、已取得碩士學位者，如發現論文、創作或技術報告有抄襲或舞弊 情事，經調查屬實，應予以撤銷及退學；其有違反其他法令者，並應依相關法令處理。</w:t>
      </w:r>
    </w:p>
    <w:p>
      <w:pPr>
        <w:pStyle w:val="BodyText"/>
        <w:spacing w:line="285" w:lineRule="auto" w:before="3"/>
        <w:ind w:left="1258" w:right="146"/>
        <w:jc w:val="both"/>
      </w:pPr>
      <w:r>
        <w:rPr>
          <w:spacing w:val="-1"/>
        </w:rPr>
        <w:t>依前項撤銷學位，並公告註銷其已發之學位證書後，應通知當事人繳還該學位證書，並將撤銷與註銷事項，通知其他大專校院及相關機關</w:t>
      </w:r>
      <w:r>
        <w:rPr>
          <w:rFonts w:ascii="Arial" w:eastAsia="Arial"/>
        </w:rPr>
        <w:t>(</w:t>
      </w:r>
      <w:r>
        <w:rPr/>
        <w:t>構</w:t>
      </w:r>
      <w:r>
        <w:rPr>
          <w:rFonts w:ascii="Arial" w:eastAsia="Arial"/>
        </w:rPr>
        <w:t>)</w:t>
      </w:r>
      <w:r>
        <w:rPr/>
        <w:t>。</w:t>
      </w:r>
    </w:p>
    <w:p>
      <w:pPr>
        <w:pStyle w:val="BodyText"/>
        <w:spacing w:line="285" w:lineRule="auto" w:before="2"/>
        <w:ind w:left="1284" w:right="331" w:hanging="1104"/>
      </w:pPr>
      <w:r>
        <w:rPr/>
        <w:t>第十二條、論文指導老師及參與學位考試人員對於試務工作負有保密義務。論文指導老師及口試委員如具利害關係者應迴避之，其原則及事由如下：</w:t>
      </w:r>
    </w:p>
    <w:p>
      <w:pPr>
        <w:pStyle w:val="BodyText"/>
        <w:spacing w:before="1"/>
        <w:ind w:left="1440"/>
      </w:pPr>
      <w:r>
        <w:rPr>
          <w:rFonts w:ascii="Arial" w:eastAsia="Arial"/>
        </w:rPr>
        <w:t>(</w:t>
      </w:r>
      <w:r>
        <w:rPr/>
        <w:t>一</w:t>
      </w:r>
      <w:r>
        <w:rPr>
          <w:rFonts w:ascii="Arial" w:eastAsia="Arial"/>
          <w:spacing w:val="26"/>
        </w:rPr>
        <w:t>) </w:t>
      </w:r>
      <w:r>
        <w:rPr/>
        <w:t>自行迴避原則：</w:t>
      </w:r>
    </w:p>
    <w:p>
      <w:pPr>
        <w:pStyle w:val="ListParagraph"/>
        <w:numPr>
          <w:ilvl w:val="0"/>
          <w:numId w:val="3"/>
        </w:numPr>
        <w:tabs>
          <w:tab w:pos="1861" w:val="left" w:leader="none"/>
        </w:tabs>
        <w:spacing w:line="240" w:lineRule="auto" w:before="65" w:after="0"/>
        <w:ind w:left="1860" w:right="0" w:hanging="361"/>
        <w:jc w:val="left"/>
        <w:rPr>
          <w:sz w:val="24"/>
        </w:rPr>
      </w:pPr>
      <w:r>
        <w:rPr>
          <w:sz w:val="24"/>
        </w:rPr>
        <w:t>本人或其配偶、前配偶、四親等內之血親或三親等內之姻親或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60" w:bottom="280" w:left="1620" w:right="1680"/>
        </w:sectPr>
      </w:pPr>
    </w:p>
    <w:p>
      <w:pPr>
        <w:pStyle w:val="BodyText"/>
        <w:spacing w:before="39"/>
        <w:ind w:left="1860"/>
      </w:pPr>
      <w:r>
        <w:rPr/>
        <w:t>曾有此關係者為事件之當事人時。</w:t>
      </w:r>
    </w:p>
    <w:p>
      <w:pPr>
        <w:pStyle w:val="ListParagraph"/>
        <w:numPr>
          <w:ilvl w:val="0"/>
          <w:numId w:val="3"/>
        </w:numPr>
        <w:tabs>
          <w:tab w:pos="1861" w:val="left" w:leader="none"/>
        </w:tabs>
        <w:spacing w:line="285" w:lineRule="auto" w:before="62" w:after="0"/>
        <w:ind w:left="1860" w:right="265" w:hanging="360"/>
        <w:jc w:val="left"/>
        <w:rPr>
          <w:sz w:val="24"/>
        </w:rPr>
      </w:pPr>
      <w:r>
        <w:rPr>
          <w:spacing w:val="-1"/>
          <w:sz w:val="24"/>
        </w:rPr>
        <w:t>本人或其配偶、前配偶，就該事件與當事人有共同權利人或共</w:t>
      </w:r>
      <w:r>
        <w:rPr>
          <w:sz w:val="24"/>
        </w:rPr>
        <w:t>同義務人之關係者。</w:t>
      </w:r>
    </w:p>
    <w:p>
      <w:pPr>
        <w:pStyle w:val="BodyText"/>
        <w:spacing w:before="3"/>
        <w:ind w:left="1440"/>
      </w:pPr>
      <w:r>
        <w:rPr>
          <w:rFonts w:ascii="Arial" w:eastAsia="Arial"/>
        </w:rPr>
        <w:t>(</w:t>
      </w:r>
      <w:r>
        <w:rPr/>
        <w:t>二</w:t>
      </w:r>
      <w:r>
        <w:rPr>
          <w:rFonts w:ascii="Arial" w:eastAsia="Arial"/>
          <w:spacing w:val="26"/>
        </w:rPr>
        <w:t>) </w:t>
      </w:r>
      <w:r>
        <w:rPr/>
        <w:t>申請迴避原則</w:t>
      </w:r>
    </w:p>
    <w:p>
      <w:pPr>
        <w:pStyle w:val="ListParagraph"/>
        <w:numPr>
          <w:ilvl w:val="0"/>
          <w:numId w:val="4"/>
        </w:numPr>
        <w:tabs>
          <w:tab w:pos="1937" w:val="left" w:leader="none"/>
          <w:tab w:pos="1938" w:val="left" w:leader="none"/>
        </w:tabs>
        <w:spacing w:line="240" w:lineRule="auto" w:before="63" w:after="0"/>
        <w:ind w:left="1937" w:right="0" w:hanging="481"/>
        <w:jc w:val="left"/>
        <w:rPr>
          <w:sz w:val="24"/>
        </w:rPr>
      </w:pPr>
      <w:r>
        <w:rPr>
          <w:sz w:val="24"/>
        </w:rPr>
        <w:t>有前述情形而不自行迴避者。</w:t>
      </w:r>
    </w:p>
    <w:p>
      <w:pPr>
        <w:pStyle w:val="ListParagraph"/>
        <w:numPr>
          <w:ilvl w:val="0"/>
          <w:numId w:val="4"/>
        </w:numPr>
        <w:tabs>
          <w:tab w:pos="1937" w:val="left" w:leader="none"/>
          <w:tab w:pos="1938" w:val="left" w:leader="none"/>
        </w:tabs>
        <w:spacing w:line="240" w:lineRule="auto" w:before="65" w:after="0"/>
        <w:ind w:left="1937" w:right="0" w:hanging="481"/>
        <w:jc w:val="left"/>
        <w:rPr>
          <w:sz w:val="24"/>
        </w:rPr>
      </w:pPr>
      <w:r>
        <w:rPr>
          <w:sz w:val="24"/>
        </w:rPr>
        <w:t>有具體事實，足認其執行職務有偏頗之虞者。</w:t>
      </w:r>
    </w:p>
    <w:p>
      <w:pPr>
        <w:pStyle w:val="BodyText"/>
        <w:spacing w:line="285" w:lineRule="auto" w:before="65"/>
        <w:ind w:left="1327" w:right="263" w:hanging="1148"/>
      </w:pPr>
      <w:r>
        <w:rPr/>
        <w:t>第十二條、本辦法經所務會議通過呈院長核准，並報請教務處備查後施行，修正時亦同。</w:t>
      </w:r>
    </w:p>
    <w:sectPr>
      <w:pgSz w:w="11910" w:h="16840"/>
      <w:pgMar w:top="146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937" w:hanging="4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606" w:hanging="4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73" w:hanging="4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39" w:hanging="4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06" w:hanging="4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273" w:hanging="4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39" w:hanging="4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06" w:hanging="4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73" w:hanging="48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83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5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57" w:hanging="360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22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038" w:hanging="32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657" w:hanging="32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275" w:hanging="32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894" w:hanging="32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13" w:hanging="32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131" w:hanging="32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50" w:hanging="32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369" w:hanging="322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08"/>
      <w:numFmt w:val="decimal"/>
      <w:lvlText w:val="%1"/>
      <w:lvlJc w:val="left"/>
      <w:pPr>
        <w:ind w:left="5919" w:hanging="4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188" w:hanging="42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6457" w:hanging="42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6725" w:hanging="42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6994" w:hanging="42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7263" w:hanging="42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531" w:hanging="42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800" w:hanging="42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069" w:hanging="423"/>
      </w:pPr>
      <w:rPr>
        <w:rFonts w:hint="default"/>
        <w:lang w:val="en-US" w:eastAsia="zh-tw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981"/>
    </w:pPr>
    <w:rPr>
      <w:rFonts w:ascii="PMingLiU" w:hAnsi="PMingLiU" w:eastAsia="PMingLiU" w:cs="PMingLiU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40" w:lineRule="exact"/>
      <w:ind w:left="543"/>
      <w:jc w:val="center"/>
    </w:pPr>
    <w:rPr>
      <w:rFonts w:ascii="PMingLiU" w:hAnsi="PMingLiU" w:eastAsia="PMingLiU" w:cs="PMingLiU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1860" w:hanging="5920"/>
    </w:pPr>
    <w:rPr>
      <w:rFonts w:ascii="PMingLiU" w:hAnsi="PMingLiU" w:eastAsia="PMingLiU" w:cs="PMingLiU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emo.cgu.edu.tw/academic_rules/T306.htm" TargetMode="External"/><Relationship Id="rId6" Type="http://schemas.openxmlformats.org/officeDocument/2006/relationships/hyperlink" Target="http://memo.cgu.edu.tw/Academic_affairs/form/grad/&#232;&#161;&#168;&#228;&#184;&#8240;&#231;&#160;&#8221;&#231;&#169;&#182;&#232;&#168;&#710;&#231;&#8226;&#171;&#229;&#143;&#163;&#232;&#169;&#166;&#231;&#8221;&#179;&#232;&#171;&#8249;&#232;&#161;&#168;.doc" TargetMode="External"/><Relationship Id="rId7" Type="http://schemas.openxmlformats.org/officeDocument/2006/relationships/hyperlink" Target="http://memo.cgu.edu.tw/Academic_affairs/form/grad/00004.doc" TargetMode="External"/><Relationship Id="rId8" Type="http://schemas.openxmlformats.org/officeDocument/2006/relationships/hyperlink" Target="http://memo.cgu.edu.tw/Academic_affairs/form/grad/&#232;&#161;&#168;&#228;&#186;&#8221;-&#232;&#171;&#8211;&#230;&#8211;&#8225;&#229;&#143;&#163;&#232;&#169;&#166;&#231;&#184;&#189;&#232;&#169;&#8226;&#232;&#161;&#168;.doc" TargetMode="External"/><Relationship Id="rId9" Type="http://schemas.openxmlformats.org/officeDocument/2006/relationships/hyperlink" Target="http://memo.cgu.edu.tw/Academic_affairs/form/grad/1.doc" TargetMode="External"/><Relationship Id="rId10" Type="http://schemas.openxmlformats.org/officeDocument/2006/relationships/hyperlink" Target="http://memo.cgu.edu.tw/Academic_affairs/form/grad/911113-1.doc" TargetMode="External"/><Relationship Id="rId11" Type="http://schemas.openxmlformats.org/officeDocument/2006/relationships/hyperlink" Target="http://memo.cgu.edu.tw/Academic_affairs/form/grad/&#232;&#161;&#168;&#229;&#8230;&#173;-&#230;&#8250;&#180;&#230;&#143;&#8250;&#232;&#171;&#8211;&#230;&#8211;&#8225;&#233;&#161;&#338;&#231;&#8250;&#174;&#231;&#8221;&#179;&#232;&#171;&#8249;&#232;&#161;&#168;.doc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SWTsai</dc:creator>
  <dcterms:created xsi:type="dcterms:W3CDTF">2022-02-09T04:25:19Z</dcterms:created>
  <dcterms:modified xsi:type="dcterms:W3CDTF">2022-02-09T04:25:19Z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2022-02-09T00:00:00Z</vt:filetime>
  </property>
</Properties>
</file>